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CF" w:rsidRPr="005408B5" w:rsidRDefault="00637317" w:rsidP="00637317">
      <w:bookmarkStart w:id="0" w:name="_GoBack"/>
      <w:bookmarkEnd w:id="0"/>
      <w:r>
        <w:rPr>
          <w:rStyle w:val="a5"/>
          <w:rFonts w:ascii="Segoe UI" w:hAnsi="Segoe UI" w:cs="Segoe UI"/>
          <w:color w:val="000000"/>
          <w:shd w:val="clear" w:color="auto" w:fill="FFFFFF"/>
        </w:rPr>
        <w:t xml:space="preserve">Какие есть рекомендации по профилактике повторных преступлений и правонарушений несовершеннолетними для общеобразовательных организаций? </w:t>
      </w:r>
      <w:r>
        <w:rPr>
          <w:noProof/>
          <w:lang w:eastAsia="ru-RU"/>
        </w:rPr>
        <w:drawing>
          <wp:inline distT="0" distB="0" distL="0" distR="0" wp14:anchorId="2DBEFBE5" wp14:editId="49CE7148">
            <wp:extent cx="606425" cy="606425"/>
            <wp:effectExtent l="0" t="0" r="3175" b="3175"/>
            <wp:docPr id="1" name="Рисунок 1" descr="☑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☑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Профилактика повторных преступлений и правонарушений несовершеннолетних проводится в рамках индивидуальной профилактической работы (ИПР). Если с несовершеннолетним проводилась ИПР после совершения преступления/ правонарушения, но он совершил его повторно, это свидетельствует о том, что данная работа была неэффективна. Скорее всего, не были выявлены и в полной мере устранены причины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делинквентного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поведения несовершеннолетнего, не изменилась социальная ситуация его развития (в семье и в школе), не были скорректированы его личностные особенности, связанные с криминальным поведением и др. </w:t>
      </w:r>
      <w:r>
        <w:rPr>
          <w:noProof/>
          <w:lang w:eastAsia="ru-RU"/>
        </w:rPr>
        <w:drawing>
          <wp:inline distT="0" distB="0" distL="0" distR="0" wp14:anchorId="12D258D6" wp14:editId="3EE93757">
            <wp:extent cx="606425" cy="606425"/>
            <wp:effectExtent l="0" t="0" r="3175" b="3175"/>
            <wp:docPr id="2" name="Рисунок 2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При разработке мер, направленных на профилактику повторных преступлений и правонарушений несовершеннолетних, прилагается использовать следующие федеральные рекомендации: </w:t>
      </w:r>
      <w:r>
        <w:rPr>
          <w:noProof/>
          <w:lang w:eastAsia="ru-RU"/>
        </w:rPr>
        <w:drawing>
          <wp:inline distT="0" distB="0" distL="0" distR="0" wp14:anchorId="2AA6B8A6" wp14:editId="5081EC40">
            <wp:extent cx="606425" cy="606425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>
          <w:rPr>
            <w:rStyle w:val="a6"/>
            <w:rFonts w:ascii="Segoe UI" w:hAnsi="Segoe UI" w:cs="Segoe UI"/>
            <w:shd w:val="clear" w:color="auto" w:fill="FFFFFF"/>
          </w:rPr>
          <w:t>Методические рекомендации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по вопросам совершенствования индивидуальной профилактической работы с обучающимися с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девиантным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поведением; </w:t>
      </w:r>
      <w:r>
        <w:rPr>
          <w:noProof/>
          <w:lang w:eastAsia="ru-RU"/>
        </w:rPr>
        <w:drawing>
          <wp:inline distT="0" distB="0" distL="0" distR="0" wp14:anchorId="590686E7" wp14:editId="40459E61">
            <wp:extent cx="606425" cy="606425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>
          <w:rPr>
            <w:rStyle w:val="a6"/>
            <w:rFonts w:ascii="Segoe UI" w:hAnsi="Segoe UI" w:cs="Segoe UI"/>
            <w:shd w:val="clear" w:color="auto" w:fill="FFFFFF"/>
          </w:rPr>
          <w:t>Методические рекомендации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для образовательных организаций по определению условий организации индивидуальной профилактической работы для обучающихся с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девиантным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поведением; </w:t>
      </w:r>
      <w:r>
        <w:rPr>
          <w:noProof/>
          <w:lang w:eastAsia="ru-RU"/>
        </w:rPr>
        <w:drawing>
          <wp:inline distT="0" distB="0" distL="0" distR="0" wp14:anchorId="6A723A83" wp14:editId="1385630E">
            <wp:extent cx="606425" cy="606425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>
          <w:rPr>
            <w:rStyle w:val="a6"/>
            <w:rFonts w:ascii="Segoe UI" w:hAnsi="Segoe UI" w:cs="Segoe UI"/>
            <w:shd w:val="clear" w:color="auto" w:fill="FFFFFF"/>
          </w:rPr>
          <w:t>Сборник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методических рекомендаций по вопросам, отнесенным к компетенции комиссий по делам несовершеннолетних и защите их прав 2022 года; </w:t>
      </w:r>
      <w:r>
        <w:rPr>
          <w:noProof/>
          <w:lang w:eastAsia="ru-RU"/>
        </w:rPr>
        <w:drawing>
          <wp:inline distT="0" distB="0" distL="0" distR="0" wp14:anchorId="3B3B9153" wp14:editId="0C16897A">
            <wp:extent cx="606425" cy="606425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>
          <w:rPr>
            <w:rStyle w:val="a6"/>
            <w:rFonts w:ascii="Segoe UI" w:hAnsi="Segoe UI" w:cs="Segoe UI"/>
            <w:shd w:val="clear" w:color="auto" w:fill="FFFFFF"/>
          </w:rPr>
          <w:t>Сборник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методических материалов для комиссий по делам несовершеннолетних и защите их прав 2023 года; </w:t>
      </w:r>
      <w:r>
        <w:rPr>
          <w:noProof/>
          <w:lang w:eastAsia="ru-RU"/>
        </w:rPr>
        <w:drawing>
          <wp:inline distT="0" distB="0" distL="0" distR="0" wp14:anchorId="7742FFE8" wp14:editId="15CA08E8">
            <wp:extent cx="606425" cy="606425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>
          <w:rPr>
            <w:rStyle w:val="a6"/>
            <w:rFonts w:ascii="Segoe UI" w:hAnsi="Segoe UI" w:cs="Segoe UI"/>
            <w:shd w:val="clear" w:color="auto" w:fill="FFFFFF"/>
          </w:rPr>
          <w:t>Рекомендации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по вопросам совершенствования организации и проведения индивидуальной профилактической работы в отношении несовершеннолетних обучающихся образовательных организаций высшего образования и взаимодействия с органами и учреждениями системы профилактики безнадзорности и правонарушений несовершеннолетних; </w:t>
      </w:r>
      <w:r>
        <w:rPr>
          <w:noProof/>
          <w:lang w:eastAsia="ru-RU"/>
        </w:rPr>
        <w:drawing>
          <wp:inline distT="0" distB="0" distL="0" distR="0" wp14:anchorId="6060508E" wp14:editId="6D1014EE">
            <wp:extent cx="606425" cy="606425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>
          <w:rPr>
            <w:rStyle w:val="a6"/>
            <w:rFonts w:ascii="Segoe UI" w:hAnsi="Segoe UI" w:cs="Segoe UI"/>
            <w:shd w:val="clear" w:color="auto" w:fill="FFFFFF"/>
          </w:rPr>
          <w:t>Навигатор профилактики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МГППУ. </w:t>
      </w:r>
      <w:r>
        <w:rPr>
          <w:noProof/>
          <w:lang w:eastAsia="ru-RU"/>
        </w:rPr>
        <w:lastRenderedPageBreak/>
        <w:drawing>
          <wp:inline distT="0" distB="0" distL="0" distR="0" wp14:anchorId="69FF395D" wp14:editId="149CE10A">
            <wp:extent cx="606425" cy="606425"/>
            <wp:effectExtent l="0" t="0" r="0" b="3175"/>
            <wp:docPr id="9" name="Рисунок 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💡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Также рекомендуем изучить </w:t>
      </w:r>
      <w:hyperlink r:id="rId14" w:tgtFrame="_blank" w:history="1">
        <w:r>
          <w:rPr>
            <w:rStyle w:val="a6"/>
            <w:rFonts w:ascii="Segoe UI" w:hAnsi="Segoe UI" w:cs="Segoe UI"/>
            <w:shd w:val="clear" w:color="auto" w:fill="FFFFFF"/>
          </w:rPr>
          <w:t>материалы раздела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«</w:t>
      </w:r>
      <w:r>
        <w:rPr>
          <w:rStyle w:val="a4"/>
          <w:rFonts w:ascii="Segoe UI" w:hAnsi="Segoe UI" w:cs="Segoe UI"/>
          <w:b w:val="0"/>
          <w:bCs w:val="0"/>
          <w:color w:val="000000"/>
          <w:shd w:val="clear" w:color="auto" w:fill="FFFFFF"/>
        </w:rPr>
        <w:t>Работа с подростками, состоящими на профилактическом учете, вступившими в конфликт с законом</w:t>
      </w:r>
      <w:r>
        <w:rPr>
          <w:rFonts w:ascii="Segoe UI" w:hAnsi="Segoe UI" w:cs="Segoe UI"/>
          <w:color w:val="000000"/>
          <w:shd w:val="clear" w:color="auto" w:fill="FFFFFF"/>
        </w:rPr>
        <w:t>» электронного банка эффективных моделей и практик воспитательной и профилактической работы Аналитического центра ФИОКО.</w:t>
      </w:r>
    </w:p>
    <w:sectPr w:rsidR="005415CF" w:rsidRPr="005408B5" w:rsidSect="007D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334911"/>
    <w:rsid w:val="005408B5"/>
    <w:rsid w:val="005415CF"/>
    <w:rsid w:val="00637317"/>
    <w:rsid w:val="00793080"/>
    <w:rsid w:val="007D09E1"/>
    <w:rsid w:val="007F20CB"/>
    <w:rsid w:val="009513C8"/>
    <w:rsid w:val="00972292"/>
    <w:rsid w:val="00DA5007"/>
    <w:rsid w:val="00DC470D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4DD8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637317"/>
    <w:rPr>
      <w:b/>
      <w:bCs/>
    </w:rPr>
  </w:style>
  <w:style w:type="character" w:styleId="a5">
    <w:name w:val="Emphasis"/>
    <w:basedOn w:val="a0"/>
    <w:uiPriority w:val="20"/>
    <w:qFormat/>
    <w:rsid w:val="00637317"/>
    <w:rPr>
      <w:i/>
      <w:iCs/>
    </w:rPr>
  </w:style>
  <w:style w:type="character" w:styleId="a6">
    <w:name w:val="Hyperlink"/>
    <w:basedOn w:val="a0"/>
    <w:uiPriority w:val="99"/>
    <w:semiHidden/>
    <w:unhideWhenUsed/>
    <w:rsid w:val="00637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prc.ru/media/media/mediacia/Opredelenie-uslovij-organizatsii-individualnoj_yVpB0HH.pdf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ismo-minobrnauki-rossii-ot-28042016-n-ak-92307/" TargetMode="External"/><Relationship Id="rId12" Type="http://schemas.openxmlformats.org/officeDocument/2006/relationships/hyperlink" Target="https://mgppu.ru/about/publications/deviant_behaviou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legalacts.ru/doc/pismo-minobrnauki-rossii-ot-19062023-n-mn-61150-km-o-napravlenii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fcprc.ru/media/media/behavior/%D0%A1%D0%B1%D0%BE%D1%80%D0%BD%D0%B8%D0%BA_%D0%BC%D0%B5%D1%82%D0%BE%D0%B4_%D0%BC%D0%B0%D1%82%D0%B5%D1%80%D0%B8%D0%B0%D0%BB%D0%BE%D0%B2_%D0%9A%D0%94%D0%9D_%D0%BA_%D0%BF%D0%B8%D1%81%D1%8C%D0%BC%D1%83_07_7335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nocpmssnov.ru/wp-content/uploads/2021/10/Sbornik-metod.-rekomendatsij-dlya-KDNiZP_2021.pdf" TargetMode="External"/><Relationship Id="rId14" Type="http://schemas.openxmlformats.org/officeDocument/2006/relationships/hyperlink" Target="https://fioco.ru/best_prac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2023-08-02T07:51:00Z</cp:lastPrinted>
  <dcterms:created xsi:type="dcterms:W3CDTF">2024-08-27T07:32:00Z</dcterms:created>
  <dcterms:modified xsi:type="dcterms:W3CDTF">2024-08-27T07:32:00Z</dcterms:modified>
</cp:coreProperties>
</file>